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62B" w:rsidRDefault="00455112">
      <w:pPr>
        <w:spacing w:after="256" w:line="259" w:lineRule="auto"/>
        <w:ind w:left="3" w:right="0" w:firstLine="0"/>
        <w:jc w:val="center"/>
      </w:pPr>
      <w:r>
        <w:rPr>
          <w:b/>
          <w:sz w:val="28"/>
        </w:rPr>
        <w:t>NYILATKOZAT</w:t>
      </w:r>
    </w:p>
    <w:p w:rsidR="007B162B" w:rsidRDefault="00455112">
      <w:pPr>
        <w:spacing w:after="262" w:line="249" w:lineRule="auto"/>
        <w:ind w:left="-5" w:right="0"/>
      </w:pPr>
      <w:r>
        <w:rPr>
          <w:sz w:val="24"/>
        </w:rPr>
        <w:t>Alulírott ……………………………………. hozzájárulok az alábbi személyazonosító adataim:</w:t>
      </w:r>
    </w:p>
    <w:p w:rsidR="007B162B" w:rsidRDefault="00455112">
      <w:pPr>
        <w:spacing w:after="262" w:line="249" w:lineRule="auto"/>
        <w:ind w:left="-5" w:right="0"/>
      </w:pPr>
      <w:r>
        <w:rPr>
          <w:sz w:val="24"/>
        </w:rPr>
        <w:t>név: ……………………………………………………………………………………………</w:t>
      </w:r>
      <w:r w:rsidR="00D5760A">
        <w:rPr>
          <w:sz w:val="24"/>
        </w:rPr>
        <w:t>……….</w:t>
      </w:r>
    </w:p>
    <w:p w:rsidR="007B162B" w:rsidRDefault="00455112">
      <w:pPr>
        <w:spacing w:after="0" w:line="476" w:lineRule="auto"/>
        <w:ind w:left="-5" w:right="0"/>
        <w:rPr>
          <w:sz w:val="24"/>
        </w:rPr>
      </w:pPr>
      <w:r>
        <w:rPr>
          <w:sz w:val="24"/>
        </w:rPr>
        <w:t xml:space="preserve">születési hely, idő: ……………………………………………………………………………. </w:t>
      </w:r>
      <w:proofErr w:type="gramStart"/>
      <w:r>
        <w:rPr>
          <w:sz w:val="24"/>
        </w:rPr>
        <w:t>lakcím:…</w:t>
      </w:r>
      <w:proofErr w:type="gramEnd"/>
      <w:r>
        <w:rPr>
          <w:sz w:val="24"/>
        </w:rPr>
        <w:t>……………………………………………………………………………………...</w:t>
      </w:r>
      <w:r w:rsidR="00D5760A">
        <w:rPr>
          <w:sz w:val="24"/>
        </w:rPr>
        <w:t>.............</w:t>
      </w:r>
    </w:p>
    <w:p w:rsidR="00D5760A" w:rsidRPr="00D5760A" w:rsidRDefault="00D5760A" w:rsidP="00D5760A">
      <w:pPr>
        <w:spacing w:after="0" w:line="476" w:lineRule="auto"/>
        <w:ind w:left="-5" w:right="0"/>
        <w:rPr>
          <w:iCs/>
          <w:sz w:val="24"/>
        </w:rPr>
      </w:pPr>
      <w:r w:rsidRPr="00D5760A">
        <w:rPr>
          <w:i/>
          <w:iCs/>
          <w:sz w:val="24"/>
        </w:rPr>
        <w:t xml:space="preserve"> </w:t>
      </w:r>
      <w:r w:rsidRPr="00D5760A">
        <w:rPr>
          <w:iCs/>
          <w:sz w:val="24"/>
        </w:rPr>
        <w:t>anyja neve</w:t>
      </w:r>
      <w:r>
        <w:rPr>
          <w:iCs/>
          <w:sz w:val="24"/>
        </w:rPr>
        <w:t xml:space="preserve"> ………………………………………………………………………………………</w:t>
      </w:r>
      <w:proofErr w:type="gramStart"/>
      <w:r>
        <w:rPr>
          <w:iCs/>
          <w:sz w:val="24"/>
        </w:rPr>
        <w:t>…….</w:t>
      </w:r>
      <w:proofErr w:type="gramEnd"/>
      <w:r>
        <w:rPr>
          <w:iCs/>
          <w:sz w:val="24"/>
        </w:rPr>
        <w:t>.</w:t>
      </w:r>
    </w:p>
    <w:p w:rsidR="00D5760A" w:rsidRPr="00D5760A" w:rsidRDefault="00D5760A" w:rsidP="00D5760A">
      <w:pPr>
        <w:spacing w:after="0" w:line="476" w:lineRule="auto"/>
        <w:ind w:left="-5" w:right="0"/>
        <w:rPr>
          <w:iCs/>
          <w:sz w:val="24"/>
        </w:rPr>
      </w:pPr>
      <w:r w:rsidRPr="00D5760A">
        <w:rPr>
          <w:iCs/>
          <w:sz w:val="24"/>
        </w:rPr>
        <w:t>TAJ szám</w:t>
      </w:r>
      <w:r>
        <w:rPr>
          <w:iCs/>
          <w:sz w:val="24"/>
        </w:rPr>
        <w:t xml:space="preserve"> ………………………………………………………………………………………………</w:t>
      </w:r>
    </w:p>
    <w:p w:rsidR="00D5760A" w:rsidRPr="00D5760A" w:rsidRDefault="00D5760A" w:rsidP="00D5760A">
      <w:pPr>
        <w:spacing w:after="0" w:line="476" w:lineRule="auto"/>
        <w:ind w:left="-5" w:right="0"/>
        <w:rPr>
          <w:iCs/>
          <w:sz w:val="24"/>
        </w:rPr>
      </w:pPr>
      <w:r w:rsidRPr="00D5760A">
        <w:rPr>
          <w:iCs/>
          <w:sz w:val="24"/>
        </w:rPr>
        <w:t xml:space="preserve"> adóazonosító</w:t>
      </w:r>
      <w:r>
        <w:rPr>
          <w:iCs/>
          <w:sz w:val="24"/>
        </w:rPr>
        <w:t xml:space="preserve"> ………………………………………………………………………………………….</w:t>
      </w:r>
    </w:p>
    <w:p w:rsidR="00D5760A" w:rsidRPr="00D5760A" w:rsidRDefault="00D5760A" w:rsidP="00D5760A">
      <w:pPr>
        <w:spacing w:after="0" w:line="476" w:lineRule="auto"/>
        <w:ind w:left="-5" w:right="0"/>
        <w:rPr>
          <w:iCs/>
          <w:sz w:val="24"/>
        </w:rPr>
      </w:pPr>
      <w:r w:rsidRPr="00D5760A">
        <w:rPr>
          <w:iCs/>
          <w:sz w:val="24"/>
        </w:rPr>
        <w:t xml:space="preserve"> telefonszám </w:t>
      </w:r>
      <w:r>
        <w:rPr>
          <w:iCs/>
          <w:sz w:val="24"/>
        </w:rPr>
        <w:t>…………………………………………………………………………………………...</w:t>
      </w:r>
    </w:p>
    <w:p w:rsidR="00D5760A" w:rsidRPr="009913DD" w:rsidRDefault="00D5760A" w:rsidP="009913DD">
      <w:pPr>
        <w:spacing w:after="0" w:line="476" w:lineRule="auto"/>
        <w:ind w:left="-5" w:right="0"/>
        <w:rPr>
          <w:sz w:val="24"/>
        </w:rPr>
      </w:pPr>
      <w:r w:rsidRPr="00D5760A">
        <w:rPr>
          <w:iCs/>
          <w:sz w:val="24"/>
        </w:rPr>
        <w:t>email cím</w:t>
      </w:r>
      <w:r>
        <w:rPr>
          <w:iCs/>
          <w:sz w:val="24"/>
        </w:rPr>
        <w:t xml:space="preserve"> ………………………………………………………………………………………</w:t>
      </w:r>
      <w:proofErr w:type="gramStart"/>
      <w:r>
        <w:rPr>
          <w:iCs/>
          <w:sz w:val="24"/>
        </w:rPr>
        <w:t>…….</w:t>
      </w:r>
      <w:proofErr w:type="gramEnd"/>
      <w:r>
        <w:rPr>
          <w:iCs/>
          <w:sz w:val="24"/>
        </w:rPr>
        <w:t>.</w:t>
      </w:r>
    </w:p>
    <w:p w:rsidR="009913DD" w:rsidRDefault="00D5760A" w:rsidP="00BB0DA6">
      <w:pPr>
        <w:spacing w:after="542" w:line="249" w:lineRule="auto"/>
        <w:ind w:left="-15" w:right="0" w:firstLine="0"/>
        <w:rPr>
          <w:sz w:val="24"/>
        </w:rPr>
      </w:pPr>
      <w:r>
        <w:rPr>
          <w:sz w:val="24"/>
        </w:rPr>
        <w:t xml:space="preserve">a Gyöngyöspata </w:t>
      </w:r>
      <w:r w:rsidR="00FD31D9">
        <w:rPr>
          <w:sz w:val="24"/>
        </w:rPr>
        <w:t>Város</w:t>
      </w:r>
      <w:bookmarkStart w:id="0" w:name="_GoBack"/>
      <w:bookmarkEnd w:id="0"/>
      <w:r>
        <w:rPr>
          <w:sz w:val="24"/>
        </w:rPr>
        <w:t xml:space="preserve"> Önkormányzata és a Gyöngyöspatai Polgármesteri Hivatal munkaviszony</w:t>
      </w:r>
      <w:r w:rsidR="00BB0DA6">
        <w:rPr>
          <w:sz w:val="24"/>
        </w:rPr>
        <w:t xml:space="preserve"> (</w:t>
      </w:r>
      <w:r>
        <w:rPr>
          <w:sz w:val="24"/>
        </w:rPr>
        <w:t>köztisztviselői, közalkalmazotti, Munka Törtvénykönyve hatálya alá tartozó, közfoglalkoztatási) létesítésével, hatóság</w:t>
      </w:r>
      <w:r w:rsidR="00853B4E">
        <w:rPr>
          <w:sz w:val="24"/>
        </w:rPr>
        <w:t>i</w:t>
      </w:r>
      <w:r>
        <w:rPr>
          <w:sz w:val="24"/>
        </w:rPr>
        <w:t xml:space="preserve"> és egyéb </w:t>
      </w:r>
      <w:r w:rsidR="00455112">
        <w:rPr>
          <w:sz w:val="24"/>
        </w:rPr>
        <w:t>eljárással összefüggő kezeléséhez és tudomásul veszem az adatkezelésről szóló alábbi tájékoztatásban foglaltakat:</w:t>
      </w:r>
    </w:p>
    <w:p w:rsidR="007B162B" w:rsidRPr="009913DD" w:rsidRDefault="00455112" w:rsidP="009913DD">
      <w:pPr>
        <w:spacing w:after="542" w:line="249" w:lineRule="auto"/>
        <w:ind w:left="-15" w:right="0" w:firstLine="0"/>
        <w:jc w:val="center"/>
        <w:rPr>
          <w:b/>
          <w:u w:val="single"/>
        </w:rPr>
      </w:pPr>
      <w:r w:rsidRPr="009913DD">
        <w:rPr>
          <w:b/>
          <w:u w:val="single"/>
        </w:rPr>
        <w:t>TÁJÉKOZTATÁS</w:t>
      </w:r>
    </w:p>
    <w:p w:rsidR="007B162B" w:rsidRDefault="00455112">
      <w:pPr>
        <w:spacing w:after="262" w:line="249" w:lineRule="auto"/>
        <w:ind w:left="-5" w:right="0"/>
      </w:pPr>
      <w:r>
        <w:rPr>
          <w:sz w:val="24"/>
          <w:u w:val="single" w:color="000000"/>
        </w:rPr>
        <w:t>Az adatkezelés célja, jogalapja</w:t>
      </w:r>
      <w:r>
        <w:rPr>
          <w:sz w:val="24"/>
        </w:rPr>
        <w:t>: Az adatkezelés célja</w:t>
      </w:r>
      <w:r w:rsidR="00D5760A">
        <w:rPr>
          <w:sz w:val="24"/>
        </w:rPr>
        <w:t>: munkaviszony (köztisztviselői, közalkalmazotti, Munka Törtvénykönyve hatálya alá tartozó, közfoglalkoztatási) létesítésével, hatóság és egyéb eljárás</w:t>
      </w:r>
      <w:r>
        <w:rPr>
          <w:sz w:val="24"/>
        </w:rPr>
        <w:t xml:space="preserve">. Az adatkezelés az érintett hozzájárulásán alapul, az érintett személyes adatait az adatkezelő a 2011. évi CXII. tv. 5. § (1) bekezdés a) pontján és a 6. § (6) bekezdése alapján kezeli. </w:t>
      </w:r>
    </w:p>
    <w:p w:rsidR="007B162B" w:rsidRDefault="00455112">
      <w:pPr>
        <w:spacing w:after="262" w:line="249" w:lineRule="auto"/>
        <w:ind w:left="-5" w:right="0"/>
      </w:pPr>
      <w:r>
        <w:rPr>
          <w:sz w:val="24"/>
          <w:u w:val="single" w:color="000000"/>
        </w:rPr>
        <w:t>Az adatkezelésre és az adatfeldolgozásra jogosult</w:t>
      </w:r>
      <w:r>
        <w:rPr>
          <w:sz w:val="24"/>
        </w:rPr>
        <w:t xml:space="preserve">: Az adatokat </w:t>
      </w:r>
      <w:r w:rsidR="00D5760A">
        <w:rPr>
          <w:sz w:val="24"/>
        </w:rPr>
        <w:t xml:space="preserve">a Gyöngyöspatai Polgármesteri Hivatal Adatvédelmi és Adatbiztonsági Szabályzatában meghatározott </w:t>
      </w:r>
      <w:r>
        <w:rPr>
          <w:sz w:val="24"/>
        </w:rPr>
        <w:t>személyek jogosultak kezelni.</w:t>
      </w:r>
    </w:p>
    <w:p w:rsidR="007B162B" w:rsidRDefault="00455112">
      <w:pPr>
        <w:spacing w:after="262" w:line="249" w:lineRule="auto"/>
        <w:ind w:left="-5" w:right="0"/>
      </w:pPr>
      <w:r>
        <w:rPr>
          <w:sz w:val="24"/>
          <w:u w:val="single" w:color="000000"/>
        </w:rPr>
        <w:t>Az adatkezelés időtartama</w:t>
      </w:r>
      <w:r>
        <w:rPr>
          <w:sz w:val="24"/>
        </w:rPr>
        <w:t xml:space="preserve">: Az adatkezelés időtartama az adatkezelést végző önkormányzati szerv jogszabályban meghatározott ügyiratkezelési előírása szerinti időtartama. </w:t>
      </w:r>
    </w:p>
    <w:p w:rsidR="007B162B" w:rsidRDefault="00455112">
      <w:pPr>
        <w:spacing w:after="262" w:line="249" w:lineRule="auto"/>
        <w:ind w:left="-5" w:right="0"/>
      </w:pPr>
      <w:r>
        <w:rPr>
          <w:sz w:val="24"/>
          <w:u w:val="single" w:color="000000"/>
        </w:rPr>
        <w:t>Az érintett adatkezeléssel kapcsolatos jogai és jogorvoslati lehetőségei</w:t>
      </w:r>
      <w:r>
        <w:rPr>
          <w:sz w:val="24"/>
        </w:rPr>
        <w:t xml:space="preserve"> (az információs önrendelkezési jogról és az információszabadságról szóló 2011. évi CXII. tv. 14-19.§-</w:t>
      </w:r>
      <w:proofErr w:type="spellStart"/>
      <w:r>
        <w:rPr>
          <w:sz w:val="24"/>
        </w:rPr>
        <w:t>ai</w:t>
      </w:r>
      <w:proofErr w:type="spellEnd"/>
      <w:r>
        <w:rPr>
          <w:sz w:val="24"/>
        </w:rPr>
        <w:t xml:space="preserve"> szerint):</w:t>
      </w:r>
    </w:p>
    <w:p w:rsidR="007B162B" w:rsidRDefault="00455112">
      <w:pPr>
        <w:spacing w:line="238" w:lineRule="auto"/>
        <w:ind w:left="-5"/>
      </w:pPr>
      <w:r>
        <w:t>„14.§ Az érintett kérelmezheti az adatkezelőnél a) tájékoztatását személyes adatai kezeléséről,</w:t>
      </w:r>
    </w:p>
    <w:p w:rsidR="007B162B" w:rsidRDefault="00455112">
      <w:pPr>
        <w:numPr>
          <w:ilvl w:val="0"/>
          <w:numId w:val="1"/>
        </w:numPr>
        <w:ind w:right="10" w:hanging="247"/>
      </w:pPr>
      <w:r>
        <w:t>személyes adatainak helyesbítését, valamint</w:t>
      </w:r>
    </w:p>
    <w:p w:rsidR="007B162B" w:rsidRDefault="00455112">
      <w:pPr>
        <w:numPr>
          <w:ilvl w:val="0"/>
          <w:numId w:val="1"/>
        </w:numPr>
        <w:spacing w:after="207"/>
        <w:ind w:right="10" w:hanging="247"/>
      </w:pPr>
      <w:r>
        <w:t>személyes adatainak - a kötelező adatkezelés kivételével - törlését vagy zárolását.</w:t>
      </w:r>
    </w:p>
    <w:p w:rsidR="007B162B" w:rsidRDefault="00455112">
      <w:pPr>
        <w:spacing w:after="131"/>
        <w:ind w:left="-5" w:right="10"/>
      </w:pPr>
      <w:r>
        <w:lastRenderedPageBreak/>
        <w:t>15. § (1) Az érintett kérelmére az adatkezelő tájékoztatást ad az érintett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adattovábbítás jogalapjáról és címzettjéről.</w:t>
      </w:r>
    </w:p>
    <w:p w:rsidR="007B162B" w:rsidRDefault="00455112">
      <w:pPr>
        <w:ind w:left="-5" w:right="10"/>
      </w:pPr>
      <w:r>
        <w:t>(1a) Az adatkezelő - ha belső adatvédelmi felelőssel rendelkezik, a belső adatvédelmi felelős útján - az adatvédelmi incidenssel kapcsolatos intézkedések ellenőrzése, valamint az érintett tájékoztatása céljából nyilvántartást vezet, amely tartalmazza az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 (1b) Az elektronikus hírközlésről szóló törvény hatálya alá tartozó adatkezelő az (1a) bekezdésben meghatározott kötelezettségét az elektronikus hírközlésről szóló törvényben meghatározott, a személyes adatok megsértésének eseteit tartalmazó nyilvántartás vezetésével is teljesítheti.</w:t>
      </w:r>
    </w:p>
    <w:p w:rsidR="007B162B" w:rsidRDefault="00455112">
      <w:pPr>
        <w:numPr>
          <w:ilvl w:val="0"/>
          <w:numId w:val="2"/>
        </w:numPr>
        <w:ind w:right="10"/>
      </w:pPr>
      <w:r>
        <w:t>Az adatkezelő az adattovábbítás jogszerűségének ellenőrzése, valamint az érintett tájékoztatásacéljából adattovábbítási nyilvántartást vezet, amely tartalmazza az általa kezelt személyes adatok továbbításának időpontját, az adattovábbítás jogalapját és címzettjét, a továbbított személyes adatok körének meghatározását, valamint az adatkezelést előíró jogszabályban meghatározott egyéb adatokat.</w:t>
      </w:r>
    </w:p>
    <w:p w:rsidR="007B162B" w:rsidRDefault="00455112">
      <w:pPr>
        <w:numPr>
          <w:ilvl w:val="0"/>
          <w:numId w:val="2"/>
        </w:numPr>
        <w:ind w:right="10"/>
      </w:pPr>
      <w:r>
        <w:t>Az (1a) és a (2) bekezdés szerinti adatok nyilvántartásban való megőrzésére irányuló - és ennek alapján a tájékoztatási - kötelezettség időtartamát az adatkezelést előíró jogszabály korlátozhatja. E korlátozás körében személyes adatok esetében öt évnél, különleges adatok esetében pedig húsz évnél rövidebb időtartam nem állapítható meg.</w:t>
      </w:r>
    </w:p>
    <w:p w:rsidR="007B162B" w:rsidRDefault="00455112">
      <w:pPr>
        <w:numPr>
          <w:ilvl w:val="0"/>
          <w:numId w:val="2"/>
        </w:numPr>
        <w:ind w:right="10"/>
      </w:pPr>
      <w:r>
        <w:t>Az adatkezelő köteles a kérelem benyújtásától számított legrövidebb idő alatt, legfeljebb azonban 25 napon belül, közérthető formában, az érintett erre irányuló kérelmére írásban megadni a tájékoztatást.</w:t>
      </w:r>
    </w:p>
    <w:p w:rsidR="007B162B" w:rsidRDefault="00455112">
      <w:pPr>
        <w:numPr>
          <w:ilvl w:val="0"/>
          <w:numId w:val="2"/>
        </w:numPr>
        <w:spacing w:after="309"/>
        <w:ind w:right="10"/>
      </w:pPr>
      <w:r>
        <w:t>A (4) bekezdésben foglalt tájékoztatás ingyenes, ha a tájékoztatást kérő a folyó évben azonosadatkörre vonatkozóan tájékoztatási kérelmet az adatkezelőhöz még nem nyújtott be. Egyéb esetekben költségtérítés állapítható meg. A költségtérítés mértékét a felek között létrejött szerződés is rögzítheti. A már megfizetett költségtérítést vissza kell téríteni, ha az adatokat jogellenesen kezelték, vagy a tájékoztatás kérése helyesbítéshez vezetett.</w:t>
      </w:r>
    </w:p>
    <w:p w:rsidR="007B162B" w:rsidRDefault="00455112">
      <w:pPr>
        <w:ind w:left="-5" w:right="10"/>
      </w:pPr>
      <w:r>
        <w:t>16.§</w:t>
      </w:r>
      <w:r>
        <w:rPr>
          <w:b/>
        </w:rPr>
        <w:t xml:space="preserve"> </w:t>
      </w:r>
      <w:r>
        <w:t>(1) Az érintett tájékoztatását az adatkezelő csak a 9.§ (1) bekezdésében, valamint a 19.§-ban meghatározott esetekben tagadhatja meg.</w:t>
      </w:r>
    </w:p>
    <w:p w:rsidR="007B162B" w:rsidRDefault="00455112">
      <w:pPr>
        <w:numPr>
          <w:ilvl w:val="0"/>
          <w:numId w:val="3"/>
        </w:numPr>
        <w:ind w:right="10"/>
      </w:pPr>
      <w:r>
        <w:t>A tájékoztatás megtagadása esetén az adatkezelő írásban közli az érintettel, hogy a felvilágosításmegtagadására e törvény mely rendelkezése alapján került sor. A felvilágosítás megtagadása esetén az adatkezelő tájékoztatja az érintettet a bírósági jogorvoslat, továbbá a Hatósághoz fordulás lehetőségéről.</w:t>
      </w:r>
    </w:p>
    <w:p w:rsidR="007B162B" w:rsidRDefault="00455112">
      <w:pPr>
        <w:numPr>
          <w:ilvl w:val="0"/>
          <w:numId w:val="3"/>
        </w:numPr>
        <w:spacing w:after="309"/>
        <w:ind w:right="10"/>
      </w:pPr>
      <w:r>
        <w:t>Az elutasított kérelmekről az adatkezelő a Hatóságot évente a tárgyévet követő év január 31-éigértesíti.</w:t>
      </w:r>
    </w:p>
    <w:p w:rsidR="007B162B" w:rsidRDefault="00455112">
      <w:pPr>
        <w:ind w:left="-5" w:right="10"/>
      </w:pPr>
      <w:r>
        <w:lastRenderedPageBreak/>
        <w:t>17.§ (1) Ha a személyes adat a valóságnak nem felel meg, és a valóságnak megfelelő személyes adat az adatkezelő rendelkezésére áll, a személyes adatot az adatkezelő helyesbíti. (2) A személyes adatot törölni kell, ha</w:t>
      </w:r>
    </w:p>
    <w:p w:rsidR="007B162B" w:rsidRDefault="00455112">
      <w:pPr>
        <w:numPr>
          <w:ilvl w:val="0"/>
          <w:numId w:val="4"/>
        </w:numPr>
        <w:ind w:right="10" w:hanging="250"/>
      </w:pPr>
      <w:r>
        <w:t>kezelése jogellenes;</w:t>
      </w:r>
    </w:p>
    <w:p w:rsidR="007B162B" w:rsidRDefault="00455112">
      <w:pPr>
        <w:numPr>
          <w:ilvl w:val="0"/>
          <w:numId w:val="4"/>
        </w:numPr>
        <w:ind w:right="10" w:hanging="250"/>
      </w:pPr>
      <w:r>
        <w:t xml:space="preserve">az érintett - a 14.§ </w:t>
      </w:r>
      <w:r>
        <w:rPr>
          <w:i/>
        </w:rPr>
        <w:t xml:space="preserve">c) </w:t>
      </w:r>
      <w:r>
        <w:t>pontjában foglaltak szerint - kéri;</w:t>
      </w:r>
    </w:p>
    <w:p w:rsidR="007B162B" w:rsidRDefault="00455112">
      <w:pPr>
        <w:numPr>
          <w:ilvl w:val="0"/>
          <w:numId w:val="4"/>
        </w:numPr>
        <w:ind w:right="10" w:hanging="250"/>
      </w:pPr>
      <w:r>
        <w:t>az hiányos vagy téves - és ez az állapot jogszerűen nem orvosolható -, feltéve, hogy a törlést törvény nem zárja ki;</w:t>
      </w:r>
    </w:p>
    <w:p w:rsidR="007B162B" w:rsidRDefault="00455112">
      <w:pPr>
        <w:numPr>
          <w:ilvl w:val="0"/>
          <w:numId w:val="4"/>
        </w:numPr>
        <w:ind w:right="10" w:hanging="250"/>
      </w:pPr>
      <w:r>
        <w:t xml:space="preserve">az adatkezelés célja megszűnt, vagy az adatok tárolásának törvényben meghatározott határideje lejárt; </w:t>
      </w:r>
      <w:r>
        <w:rPr>
          <w:i/>
        </w:rPr>
        <w:t xml:space="preserve">e) </w:t>
      </w:r>
      <w:r>
        <w:t>azt a bíróság vagy a Hatóság elrendelte.</w:t>
      </w:r>
    </w:p>
    <w:p w:rsidR="007B162B" w:rsidRDefault="00455112">
      <w:pPr>
        <w:numPr>
          <w:ilvl w:val="0"/>
          <w:numId w:val="5"/>
        </w:numPr>
        <w:ind w:right="10"/>
      </w:pPr>
      <w:r>
        <w:t xml:space="preserve">A (2) bekezdés </w:t>
      </w:r>
      <w:r>
        <w:rPr>
          <w:i/>
        </w:rPr>
        <w:t xml:space="preserve">d) </w:t>
      </w:r>
      <w:r>
        <w:t>pontjában meghatározott esetben a törlési kötelezettség nem vonatkozik azon személyes adatra, amelynek adathordozóját a levéltári anyag védelmére vonatkozó jogszabály értelmében levéltári őrizetbe kell adni.</w:t>
      </w:r>
    </w:p>
    <w:p w:rsidR="007B162B" w:rsidRDefault="00455112">
      <w:pPr>
        <w:numPr>
          <w:ilvl w:val="0"/>
          <w:numId w:val="5"/>
        </w:numPr>
        <w:ind w:right="10"/>
      </w:pPr>
      <w:r>
        <w:t>Törlés helyett az adatkezelő zárolja a személyes adatot, ha az érintett ezt kéri, vagy ha a</w:t>
      </w:r>
      <w:r w:rsidR="00D5760A">
        <w:t xml:space="preserve"> </w:t>
      </w:r>
      <w:r>
        <w:t>rendelkezésére álló információk alapján feltételezhető, hogy a törlés sértené az érintett jogos érdekeit. Az így zárolt személyes adat kizárólag addig kezelhető, ameddig fennáll az az adatkezelési cél, amely a személyes adat törlését kizárta.</w:t>
      </w:r>
    </w:p>
    <w:p w:rsidR="007B162B" w:rsidRDefault="00455112">
      <w:pPr>
        <w:numPr>
          <w:ilvl w:val="0"/>
          <w:numId w:val="5"/>
        </w:numPr>
        <w:spacing w:after="318" w:line="286" w:lineRule="auto"/>
        <w:ind w:right="10"/>
      </w:pPr>
      <w:r>
        <w:t>Az adatkezelő megjelöli az általa kezelt személyes adatot, ha az érintett vitatja annak helyességét</w:t>
      </w:r>
      <w:r w:rsidR="00D5760A">
        <w:t xml:space="preserve"> </w:t>
      </w:r>
      <w:r>
        <w:t>vagy pontosságát, de a vitatott személyes adat helytelensége vagy pontatlansága nem állapítható meg egyértelműen.</w:t>
      </w:r>
    </w:p>
    <w:p w:rsidR="007B162B" w:rsidRDefault="00455112">
      <w:pPr>
        <w:ind w:left="-5" w:right="10"/>
      </w:pPr>
      <w:r>
        <w:t>18.§</w:t>
      </w:r>
      <w:r>
        <w:rPr>
          <w:b/>
        </w:rPr>
        <w:t xml:space="preserve"> </w:t>
      </w:r>
      <w:r>
        <w:t>(1) A helyesbítésről, a zárolásról, a megjelölésről és a törlésről az érintettet, továbbá mindazokat értesíteni kell, akiknek korábban az adatot adatkezelés céljára továbbították. Az értesítés mellőzhető, ha ez az adatkezelés céljára való tekintettel az érintett jogos érdekét nem sérti.</w:t>
      </w:r>
    </w:p>
    <w:p w:rsidR="007B162B" w:rsidRDefault="00455112" w:rsidP="00D5760A">
      <w:pPr>
        <w:spacing w:after="413"/>
        <w:ind w:left="-5" w:right="10"/>
      </w:pPr>
      <w:r>
        <w:t>(2) Ha az adatkezelő az érintett helyesbítés, zárolás vagy törlés iránti kérelmét nem teljesíti, a kérelem kézhezvételét követő 25 napon belül írásban vagy az érintett hozzájárulásával elektronikus úton közli a</w:t>
      </w:r>
      <w:r w:rsidR="00D5760A">
        <w:t xml:space="preserve"> </w:t>
      </w:r>
      <w:r>
        <w:t>helyesbítés, zárolás vagy törlés iránti kérelem elutasításának ténybeli és jogi indokait. A helyesbítés, törlés vagy zárolás iránti kérelem elutasítása esetén az adatkezelő tájékoztatja az érintettet a bírósági jogorvoslat, továbbá a Hatósághoz fordulás lehetőségéről.</w:t>
      </w:r>
    </w:p>
    <w:p w:rsidR="009913DD" w:rsidRDefault="00455112" w:rsidP="009913DD">
      <w:pPr>
        <w:spacing w:after="759"/>
        <w:ind w:left="-5" w:right="10"/>
      </w:pPr>
      <w:r>
        <w:t>19.§</w:t>
      </w:r>
      <w:r>
        <w:rPr>
          <w:b/>
        </w:rPr>
        <w:t xml:space="preserve"> </w:t>
      </w:r>
      <w:r>
        <w:t>Az érintettnek a 14-18.§-ban meghatározott jogait törvény korlátozhatja az állam külső és belső biztonsága, így a honvédelem, a nemzetbiztonság, a bűncselekmények megelőzése vagy üldözése, a büntetés-végrehajtás biztonsága érdekében, továbbá állami vagy önkormányzati gazdasági vagy pénzügyi érdekből, az Európai Unió jelentős gazdasági vagy pénzügyi érdekéből, valamint a foglalkozások gyakorlásával összefüggő fegyelmi és etikai vétségek, a munkajogi és munkavédelmi kötelezettségszegések megelőzése és feltárása céljából - beleértve minden esetben az ellenőrzést és a felügyeletet is -, továbbá az érintett vagy mások jogainak védelme érdekében.</w:t>
      </w:r>
    </w:p>
    <w:p w:rsidR="00D5760A" w:rsidRDefault="00D5760A" w:rsidP="009913DD">
      <w:proofErr w:type="gramStart"/>
      <w:r>
        <w:t>Kelt</w:t>
      </w:r>
      <w:r w:rsidR="009913DD">
        <w:t>:</w:t>
      </w:r>
      <w:r>
        <w:t>Gyöngyöspata</w:t>
      </w:r>
      <w:proofErr w:type="gramEnd"/>
      <w:r>
        <w:t>,20</w:t>
      </w:r>
      <w:r w:rsidR="00455112">
        <w:t>........................……</w:t>
      </w:r>
    </w:p>
    <w:p w:rsidR="009913DD" w:rsidRDefault="009913DD" w:rsidP="009913DD">
      <w:pPr>
        <w:pStyle w:val="Nincstrkz"/>
        <w:ind w:right="-5"/>
      </w:pPr>
      <w:r>
        <w:tab/>
      </w:r>
      <w:r>
        <w:tab/>
      </w:r>
      <w:r>
        <w:tab/>
      </w:r>
      <w:r>
        <w:tab/>
      </w:r>
      <w:r>
        <w:tab/>
      </w:r>
      <w:r>
        <w:tab/>
      </w:r>
      <w:r>
        <w:tab/>
      </w:r>
      <w:r>
        <w:tab/>
        <w:t xml:space="preserve">         ……………………………..</w:t>
      </w:r>
    </w:p>
    <w:p w:rsidR="007B162B" w:rsidRDefault="00455112" w:rsidP="009913DD">
      <w:pPr>
        <w:ind w:left="5102" w:right="-5" w:firstLine="562"/>
      </w:pPr>
      <w:r>
        <w:t>nyilatkozatot tevő aláírása</w:t>
      </w:r>
    </w:p>
    <w:sectPr w:rsidR="007B162B">
      <w:pgSz w:w="11900" w:h="16840"/>
      <w:pgMar w:top="1145" w:right="1130" w:bottom="2084" w:left="11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15E6"/>
    <w:multiLevelType w:val="hybridMultilevel"/>
    <w:tmpl w:val="91C0211A"/>
    <w:lvl w:ilvl="0" w:tplc="2AD44B0E">
      <w:start w:val="2"/>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BD802E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5EE13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EDE3ED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302890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83689E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68C70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A89DD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FEA74D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29F059C"/>
    <w:multiLevelType w:val="hybridMultilevel"/>
    <w:tmpl w:val="BB5E90B6"/>
    <w:lvl w:ilvl="0" w:tplc="25E0501E">
      <w:start w:val="1"/>
      <w:numFmt w:val="lowerLetter"/>
      <w:lvlText w:val="%1)"/>
      <w:lvlJc w:val="left"/>
      <w:pPr>
        <w:ind w:left="25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1" w:tplc="1638E8E8">
      <w:start w:val="1"/>
      <w:numFmt w:val="lowerLetter"/>
      <w:lvlText w:val="%2"/>
      <w:lvlJc w:val="left"/>
      <w:pPr>
        <w:ind w:left="10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BD8A0F02">
      <w:start w:val="1"/>
      <w:numFmt w:val="lowerRoman"/>
      <w:lvlText w:val="%3"/>
      <w:lvlJc w:val="left"/>
      <w:pPr>
        <w:ind w:left="18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FDC6386A">
      <w:start w:val="1"/>
      <w:numFmt w:val="decimal"/>
      <w:lvlText w:val="%4"/>
      <w:lvlJc w:val="left"/>
      <w:pPr>
        <w:ind w:left="25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B8B6CD7A">
      <w:start w:val="1"/>
      <w:numFmt w:val="lowerLetter"/>
      <w:lvlText w:val="%5"/>
      <w:lvlJc w:val="left"/>
      <w:pPr>
        <w:ind w:left="324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64AE0564">
      <w:start w:val="1"/>
      <w:numFmt w:val="lowerRoman"/>
      <w:lvlText w:val="%6"/>
      <w:lvlJc w:val="left"/>
      <w:pPr>
        <w:ind w:left="396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3B34AB54">
      <w:start w:val="1"/>
      <w:numFmt w:val="decimal"/>
      <w:lvlText w:val="%7"/>
      <w:lvlJc w:val="left"/>
      <w:pPr>
        <w:ind w:left="46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6A00F57C">
      <w:start w:val="1"/>
      <w:numFmt w:val="lowerLetter"/>
      <w:lvlText w:val="%8"/>
      <w:lvlJc w:val="left"/>
      <w:pPr>
        <w:ind w:left="54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39E8E8CE">
      <w:start w:val="1"/>
      <w:numFmt w:val="lowerRoman"/>
      <w:lvlText w:val="%9"/>
      <w:lvlJc w:val="left"/>
      <w:pPr>
        <w:ind w:left="61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AA43984"/>
    <w:multiLevelType w:val="hybridMultilevel"/>
    <w:tmpl w:val="55A89694"/>
    <w:lvl w:ilvl="0" w:tplc="29BA42FE">
      <w:start w:val="2"/>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C4A9A4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422C75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1E28D4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4EA786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0CC94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A3C819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3DC0AF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C8EE91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C086036"/>
    <w:multiLevelType w:val="hybridMultilevel"/>
    <w:tmpl w:val="72A8294A"/>
    <w:lvl w:ilvl="0" w:tplc="7DDCD58E">
      <w:start w:val="3"/>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238973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B50641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73A152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51674E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0AD3B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092FE0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BD866C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ED6ADE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671D02F3"/>
    <w:multiLevelType w:val="hybridMultilevel"/>
    <w:tmpl w:val="99FAA82A"/>
    <w:lvl w:ilvl="0" w:tplc="E9CCF7DE">
      <w:start w:val="2"/>
      <w:numFmt w:val="lowerLetter"/>
      <w:lvlText w:val="%1)"/>
      <w:lvlJc w:val="left"/>
      <w:pPr>
        <w:ind w:left="2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FEC35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F82A37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9786D8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AFC21C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C64690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4029BE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99E8CB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C9A1E9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62B"/>
    <w:rsid w:val="00455112"/>
    <w:rsid w:val="007B162B"/>
    <w:rsid w:val="00853B4E"/>
    <w:rsid w:val="009913DD"/>
    <w:rsid w:val="00BB0DA6"/>
    <w:rsid w:val="00D5760A"/>
    <w:rsid w:val="00FD31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B555"/>
  <w15:docId w15:val="{2138D53E-5561-4D2D-8312-64E41D26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3" w:line="296" w:lineRule="auto"/>
      <w:ind w:left="10" w:right="5108" w:hanging="10"/>
      <w:jc w:val="both"/>
    </w:pPr>
    <w:rPr>
      <w:rFonts w:ascii="Times New Roman" w:eastAsia="Times New Roman" w:hAnsi="Times New Roman" w:cs="Times New Roman"/>
      <w:color w:val="000000"/>
      <w:sz w:val="23"/>
    </w:rPr>
  </w:style>
  <w:style w:type="paragraph" w:styleId="Cmsor1">
    <w:name w:val="heading 1"/>
    <w:next w:val="Norml"/>
    <w:link w:val="Cmsor1Char"/>
    <w:uiPriority w:val="9"/>
    <w:qFormat/>
    <w:pPr>
      <w:keepNext/>
      <w:keepLines/>
      <w:spacing w:after="252"/>
      <w:ind w:left="2"/>
      <w:jc w:val="center"/>
      <w:outlineLvl w:val="0"/>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4"/>
    </w:rPr>
  </w:style>
  <w:style w:type="paragraph" w:styleId="Nincstrkz">
    <w:name w:val="No Spacing"/>
    <w:uiPriority w:val="1"/>
    <w:qFormat/>
    <w:rsid w:val="009913DD"/>
    <w:pPr>
      <w:spacing w:after="0" w:line="240" w:lineRule="auto"/>
      <w:ind w:left="10" w:right="5108" w:hanging="10"/>
      <w:jc w:val="both"/>
    </w:pPr>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1032</Words>
  <Characters>7121</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Sándor Balázs</dc:creator>
  <cp:keywords/>
  <cp:lastModifiedBy>Dr Sándor Balázs</cp:lastModifiedBy>
  <cp:revision>6</cp:revision>
  <cp:lastPrinted>2019-04-10T08:50:00Z</cp:lastPrinted>
  <dcterms:created xsi:type="dcterms:W3CDTF">2019-04-09T11:58:00Z</dcterms:created>
  <dcterms:modified xsi:type="dcterms:W3CDTF">2019-04-10T08:58:00Z</dcterms:modified>
</cp:coreProperties>
</file>